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31001999"/>
      <w:bookmarkStart w:id="1" w:name="block-31001999"/>
      <w:bookmarkEnd w:id="1"/>
      <w:r>
        <w:rPr/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  <w:noBreakHyphen/>
        <w:t xml:space="preserve"> 135 часов: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31001999"/>
      <w:bookmarkStart w:id="4" w:name="block-31002000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31002000"/>
      <w:bookmarkStart w:id="6" w:name="block-31002001"/>
      <w:bookmarkEnd w:id="5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7" w:name="_Toc139972685"/>
      <w:bookmarkStart w:id="8" w:name="_Toc139972685"/>
      <w:bookmarkEnd w:id="8"/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9" w:name="_Toc139972686"/>
      <w:bookmarkStart w:id="10" w:name="_Toc139972686"/>
      <w:bookmarkEnd w:id="10"/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rPr/>
      </w:pPr>
      <w:bookmarkStart w:id="11" w:name="block-31002001"/>
      <w:bookmarkStart w:id="12" w:name="block-31002002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797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6"/>
        <w:gridCol w:w="4644"/>
        <w:gridCol w:w="1"/>
        <w:gridCol w:w="1535"/>
        <w:gridCol w:w="1"/>
        <w:gridCol w:w="1839"/>
        <w:gridCol w:w="2"/>
        <w:gridCol w:w="1908"/>
        <w:gridCol w:w="1"/>
        <w:gridCol w:w="2799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645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495" w:leader="none"/>
        </w:tabs>
        <w:rPr/>
      </w:pPr>
      <w:bookmarkStart w:id="13" w:name="block-31002002"/>
      <w:bookmarkStart w:id="14" w:name="block-31002003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9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4"/>
        <w:gridCol w:w="3903"/>
        <w:gridCol w:w="1193"/>
        <w:gridCol w:w="1841"/>
        <w:gridCol w:w="1909"/>
        <w:gridCol w:w="2"/>
        <w:gridCol w:w="1422"/>
        <w:gridCol w:w="1"/>
        <w:gridCol w:w="2823"/>
      </w:tblGrid>
      <w:tr>
        <w:trPr>
          <w:trHeight w:val="144" w:hRule="atLeast"/>
        </w:trPr>
        <w:tc>
          <w:tcPr>
            <w:tcW w:w="9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903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2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18.02.2025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4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2550" w:leader="none"/>
        </w:tabs>
        <w:rPr>
          <w:lang w:val="ru-RU"/>
        </w:rPr>
      </w:pPr>
      <w:bookmarkStart w:id="15" w:name="block-31002003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6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Музыка, 3 класс/ Критская Е.Д., Сергеева Г.П., Шмагина Т.С., 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разработки, 3 класс, Е.Д.Критская. Москва "Просвещение"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Фонохрестоматия музыкального материала, 3 класс, Е.Д.Критская.</w:t>
      </w:r>
      <w:bookmarkStart w:id="17" w:name="6c624f83-d6f6-4560-bdb9-085c19f7dab0"/>
      <w:bookmarkEnd w:id="17"/>
      <w:r>
        <w:rPr>
          <w:sz w:val="28"/>
          <w:lang w:val="ru-RU"/>
        </w:rPr>
        <w:br/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8" w:name="b3e9be70-5c6b-42b4-b0b4-30ca1a14a2b3"/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9668</w:t>
      </w:r>
      <w:bookmarkStart w:id="19" w:name="block-31002004"/>
      <w:bookmarkEnd w:id="18"/>
      <w:bookmarkEnd w:id="19"/>
      <w:r>
        <w:rPr>
          <w:rFonts w:ascii="Times New Roman" w:hAnsi="Times New Roman"/>
          <w:color w:val="000000"/>
          <w:sz w:val="28"/>
        </w:rPr>
        <w:t>a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113921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11392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bf8" TargetMode="External"/><Relationship Id="rId3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f5e9668a" TargetMode="External"/><Relationship Id="rId33" Type="http://schemas.openxmlformats.org/officeDocument/2006/relationships/hyperlink" Target="https://m.edsoo.ru/f5e92d78" TargetMode="External"/><Relationship Id="rId34" Type="http://schemas.openxmlformats.org/officeDocument/2006/relationships/hyperlink" Target="https://m.edsoo.ru/f5e946aa" TargetMode="External"/><Relationship Id="rId35" Type="http://schemas.openxmlformats.org/officeDocument/2006/relationships/hyperlink" Target="https://m.edsoo.ru/f5e96b94" TargetMode="External"/><Relationship Id="rId36" Type="http://schemas.openxmlformats.org/officeDocument/2006/relationships/hyperlink" Target="https://m.edsoo.ru/f5e92bb6" TargetMode="External"/><Relationship Id="rId37" Type="http://schemas.openxmlformats.org/officeDocument/2006/relationships/hyperlink" Target="https://m.edsoo.ru/f5e986ce" TargetMode="External"/><Relationship Id="rId38" Type="http://schemas.openxmlformats.org/officeDocument/2006/relationships/hyperlink" Target="https://m.edsoo.ru/f2a35116" TargetMode="External"/><Relationship Id="rId39" Type="http://schemas.openxmlformats.org/officeDocument/2006/relationships/fontTable" Target="fontTable.xml"/><Relationship Id="rId40" Type="http://schemas.openxmlformats.org/officeDocument/2006/relationships/settings" Target="settings.xml"/><Relationship Id="rId4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LibreOffice/5.4.1.2$Windows_x86 LibreOffice_project/ea7cb86e6eeb2bf3a5af73a8f7777ac570321527</Application>
  <Pages>53</Pages>
  <Words>9888</Words>
  <Characters>77017</Characters>
  <CharactersWithSpaces>86149</CharactersWithSpaces>
  <Paragraphs>1138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2024-09-07T12:49:00Z</dcterms:created>
  <dc:creator>Пользователь</dc:creator>
  <dc:description/>
  <dc:language>ru-RU</dc:language>
  <cp:lastModifiedBy/>
  <cp:lastPrinted>2024-09-10T19:51:00Z</cp:lastPrinted>
  <dcterms:modified xsi:type="dcterms:W3CDTF">2024-10-15T07:52:58Z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